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A0" w:rsidRDefault="00081BA0" w:rsidP="00081BA0">
      <w:pPr>
        <w:rPr>
          <w:color w:val="1F4E79"/>
        </w:rPr>
      </w:pPr>
      <w:bookmarkStart w:id="0" w:name="_GoBack"/>
      <w:bookmarkEnd w:id="0"/>
      <w:r>
        <w:rPr>
          <w:color w:val="1F4E79"/>
        </w:rPr>
        <w:t>Pozdravljeni!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 xml:space="preserve">Kot verjetno veste, se izteka čas za ureditev podatkov v VIS-u o predmetih in predvsem izvajalcih pri predmetih za potrebe anketiranja, ki se bo letos prvič izvajalo za vse članice UL v zunanjem sistemu (1KA). Rok za dokončno ureditev podatkov je </w:t>
      </w:r>
      <w:r>
        <w:rPr>
          <w:b/>
          <w:bCs/>
          <w:color w:val="1F4E79"/>
          <w:u w:val="single"/>
        </w:rPr>
        <w:t>31.10.2015</w:t>
      </w:r>
      <w:r>
        <w:rPr>
          <w:color w:val="1F4E79"/>
        </w:rPr>
        <w:t>, ko bodo podatki posredovani na 1KA!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Za študijsko leto 2015/16 je potrebno urediti sledeče:</w:t>
      </w:r>
    </w:p>
    <w:p w:rsidR="00081BA0" w:rsidRDefault="00081BA0" w:rsidP="00081BA0">
      <w:pPr>
        <w:ind w:left="708"/>
        <w:rPr>
          <w:color w:val="1F4E79"/>
        </w:rPr>
      </w:pPr>
      <w:r>
        <w:rPr>
          <w:color w:val="1F4E79"/>
        </w:rPr>
        <w:t xml:space="preserve">1) Forma »Predmet«, zavihek »Izvajalci«*, polje »Način izv.« </w:t>
      </w:r>
      <w:r>
        <w:rPr>
          <w:color w:val="1F4E79"/>
          <w:sz w:val="18"/>
          <w:szCs w:val="18"/>
        </w:rPr>
        <w:t>(slika 1)</w:t>
      </w:r>
    </w:p>
    <w:p w:rsidR="00081BA0" w:rsidRDefault="00081BA0" w:rsidP="00081BA0">
      <w:pPr>
        <w:ind w:left="708"/>
        <w:rPr>
          <w:color w:val="1F4E79"/>
        </w:rPr>
      </w:pPr>
      <w:r>
        <w:rPr>
          <w:color w:val="1F4E79"/>
        </w:rPr>
        <w:t xml:space="preserve">2) Forma »Predmet«, zavihek »Izvajalci«*, polje »Anketiran kot« </w:t>
      </w:r>
      <w:r>
        <w:rPr>
          <w:color w:val="1F4E79"/>
          <w:sz w:val="18"/>
          <w:szCs w:val="18"/>
        </w:rPr>
        <w:t>(slika 1)</w:t>
      </w:r>
    </w:p>
    <w:p w:rsidR="00081BA0" w:rsidRDefault="00081BA0" w:rsidP="00081BA0">
      <w:pPr>
        <w:ind w:left="708"/>
        <w:rPr>
          <w:color w:val="1F4E79"/>
        </w:rPr>
      </w:pPr>
      <w:r>
        <w:rPr>
          <w:color w:val="1F4E79"/>
        </w:rPr>
        <w:t xml:space="preserve">3) Forma »Predmet«, zavihek »Izvajalci«*, polje »Tip sodelavca« </w:t>
      </w:r>
      <w:r>
        <w:rPr>
          <w:color w:val="1F4E79"/>
          <w:sz w:val="18"/>
          <w:szCs w:val="18"/>
        </w:rPr>
        <w:t>(slika 1)</w:t>
      </w:r>
    </w:p>
    <w:p w:rsidR="00081BA0" w:rsidRDefault="00081BA0" w:rsidP="00081BA0">
      <w:pPr>
        <w:ind w:left="708"/>
        <w:rPr>
          <w:color w:val="1F4E79"/>
        </w:rPr>
      </w:pPr>
      <w:r>
        <w:rPr>
          <w:color w:val="1F4E79"/>
        </w:rPr>
        <w:t xml:space="preserve">4) Forma »Predmet«, zavihek »Razno«, polje »Tip ankete« </w:t>
      </w:r>
      <w:r>
        <w:rPr>
          <w:color w:val="1F4E79"/>
          <w:sz w:val="18"/>
          <w:szCs w:val="18"/>
        </w:rPr>
        <w:t>(slika 2)</w:t>
      </w:r>
    </w:p>
    <w:p w:rsidR="00081BA0" w:rsidRDefault="00081BA0" w:rsidP="00081BA0">
      <w:pPr>
        <w:ind w:left="708"/>
        <w:rPr>
          <w:color w:val="1F4E79"/>
        </w:rPr>
      </w:pPr>
      <w:r>
        <w:rPr>
          <w:color w:val="1F4E79"/>
        </w:rPr>
        <w:t xml:space="preserve">5) Forma »Predmet«, zavihek »Razno«, polje »Posebnosti anketiranja« (če jih imate) </w:t>
      </w:r>
      <w:r>
        <w:rPr>
          <w:color w:val="1F4E79"/>
          <w:sz w:val="18"/>
          <w:szCs w:val="18"/>
        </w:rPr>
        <w:t>(slika 2)</w:t>
      </w:r>
    </w:p>
    <w:p w:rsidR="00081BA0" w:rsidRDefault="00081BA0" w:rsidP="00081BA0">
      <w:pPr>
        <w:ind w:left="708"/>
        <w:rPr>
          <w:color w:val="1F4E79"/>
        </w:rPr>
      </w:pPr>
      <w:r>
        <w:rPr>
          <w:color w:val="1F4E79"/>
        </w:rPr>
        <w:t xml:space="preserve">6) Forma »Predmet«, zavihek »Osnovni podatki«, polje »Semester« </w:t>
      </w:r>
      <w:r>
        <w:rPr>
          <w:color w:val="1F4E79"/>
          <w:sz w:val="18"/>
          <w:szCs w:val="18"/>
        </w:rPr>
        <w:t>(slika 3)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* v nekaterih verzijah VIS-a je zavihek poimenovan »Najava«.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 xml:space="preserve">Prva točka: Podatek »Način izv.« je obvezen in ga je potrebno ustrezno urediti oz. napolniti. Če zaposleni sodeluje tako na rednem kot izrednem študiju, potem mora imeti v tej formi 2 zapisa – za redni in za izredni študij. V primeru, da tega podatka trenutno nimate urejenega, vam lahko pomagamo na </w:t>
      </w:r>
      <w:proofErr w:type="spellStart"/>
      <w:r>
        <w:rPr>
          <w:color w:val="1F4E79"/>
        </w:rPr>
        <w:t>Talpasu</w:t>
      </w:r>
      <w:proofErr w:type="spellEnd"/>
      <w:r>
        <w:rPr>
          <w:color w:val="1F4E79"/>
        </w:rPr>
        <w:t xml:space="preserve"> (napolnimo podatek za redni študij in kopiramo vrstice še za izredni študij).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 xml:space="preserve">Druga točka: Vsi pedagogi, ki so na predmetu dodani </w:t>
      </w:r>
      <w:r>
        <w:rPr>
          <w:color w:val="1F497D"/>
        </w:rPr>
        <w:t>»</w:t>
      </w:r>
      <w:r>
        <w:rPr>
          <w:color w:val="1F4E79"/>
        </w:rPr>
        <w:t>fiktivno</w:t>
      </w:r>
      <w:r>
        <w:rPr>
          <w:color w:val="1F497D"/>
        </w:rPr>
        <w:t>«</w:t>
      </w:r>
      <w:r>
        <w:rPr>
          <w:color w:val="1F4E79"/>
        </w:rPr>
        <w:t xml:space="preserve"> in </w:t>
      </w:r>
      <w:r>
        <w:rPr>
          <w:color w:val="1F497D"/>
        </w:rPr>
        <w:t xml:space="preserve">predmeta </w:t>
      </w:r>
      <w:r>
        <w:rPr>
          <w:color w:val="1F4E79"/>
        </w:rPr>
        <w:t xml:space="preserve">dejansko </w:t>
      </w:r>
      <w:r>
        <w:rPr>
          <w:color w:val="1F497D"/>
        </w:rPr>
        <w:t>ne izvajajo</w:t>
      </w:r>
      <w:r>
        <w:rPr>
          <w:color w:val="1F4E79"/>
        </w:rPr>
        <w:t>, v polju »Anketiran kot« ne smejo imeti vpisano ničesar (se ne anketirajo); vsi, ki dejansko delajo s študenti, pa morajo imeti polje napolnjeno. Ta podatek je potrebno pri vseh preveriti in ga ustrezno urediti.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Tretja točka: Tip sodelavca pri predmetu mora biti pravilno urejen, saj se na podlagi tega določi</w:t>
      </w:r>
      <w:r>
        <w:rPr>
          <w:color w:val="1F497D"/>
        </w:rPr>
        <w:t xml:space="preserve"> pravico vpogleda </w:t>
      </w:r>
      <w:r>
        <w:rPr>
          <w:color w:val="1F4E79"/>
        </w:rPr>
        <w:t> </w:t>
      </w:r>
      <w:r>
        <w:rPr>
          <w:color w:val="1F497D"/>
        </w:rPr>
        <w:t>v rezultate asistentov s strani nosilca.</w:t>
      </w:r>
      <w:r>
        <w:rPr>
          <w:color w:val="1F4E79"/>
        </w:rPr>
        <w:t xml:space="preserve"> Tudi ta podatek je potrebno pri vseh preveriti in ga ustrezno urediti.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 xml:space="preserve">Četrta točka: Privzeto </w:t>
      </w:r>
      <w:r>
        <w:rPr>
          <w:color w:val="1F497D"/>
        </w:rPr>
        <w:t xml:space="preserve">se za vse predmete izvaja anketa za predmet, zato smo </w:t>
      </w:r>
      <w:r>
        <w:rPr>
          <w:color w:val="1F4E79"/>
        </w:rPr>
        <w:t xml:space="preserve">vam za vse predmete napolnil podatek »Tip ankete« = »Za predmet«. </w:t>
      </w:r>
      <w:r>
        <w:rPr>
          <w:color w:val="1F497D"/>
        </w:rPr>
        <w:t xml:space="preserve">V primeru, da želite, da se predmet anketira kot praksa, podatek </w:t>
      </w:r>
      <w:r>
        <w:rPr>
          <w:color w:val="1F4E79"/>
        </w:rPr>
        <w:t>spremenite v vrednost: »Za prakso«.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Peta točka: Če želite, da se za kakšen predmet anketiranje izvaja izven sistemsko določenih datumov, morate tem predmetom vnesti datum začetka in konca anketiranja v polji »Posebnosti anketiranja«. Anketiranje za predmete zimskega semestra se bo sicer izvajalo od 15.12.2015 do 30.09.2016, za predmete letnega semestra in celoletne predmete pa od 15.05.2016 do 30.09.2016.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Šesta točka: Podatek o semestru mora biti natančno urejen, ker se na podlagi tega podatka določa kdaj mora študent anketo izpolniti (če se predmet izvaja v poletnem semestru, v VIS-u pa je označen kot predmet zimskega semestra, bo sistem od študenta že decembra zahteval, da to anketo reši, predmet pa se dejansko sploh še ne bo izvajal). V kolikor tega podatka še nimate urejenega, ga uredite.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 xml:space="preserve">Podatke pred 31.10. obvezno preglejte in preverite pravilnost in sicer tako, da v </w:t>
      </w:r>
      <w:proofErr w:type="spellStart"/>
      <w:r>
        <w:rPr>
          <w:color w:val="1F4E79"/>
        </w:rPr>
        <w:t>VISu</w:t>
      </w:r>
      <w:proofErr w:type="spellEnd"/>
      <w:r>
        <w:rPr>
          <w:color w:val="1F4E79"/>
        </w:rPr>
        <w:t xml:space="preserve"> izberete v meniju »Orodja / Izvozi / Podatki za ankete 1KA« </w:t>
      </w:r>
      <w:r>
        <w:rPr>
          <w:color w:val="1F4E79"/>
          <w:sz w:val="18"/>
          <w:szCs w:val="18"/>
        </w:rPr>
        <w:t>(slika 4)</w:t>
      </w:r>
      <w:r>
        <w:rPr>
          <w:color w:val="1F4E79"/>
        </w:rPr>
        <w:t>, kliknete na gumb »najdi« ter podatke izvozite v Excel.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lastRenderedPageBreak/>
        <w:t>Prosim tudi, da nam sporočite, ali imate v VIS-u pri zaposlenih urejene nazive (predpone) – če jih imate, jih bomo izvozili v 1KA, če jih nimate bomo izvozili le imena in priimke, brez nazivov. V kolikor te informacije ne bomo prejeli, bomo v šifrant izvozili le imena in priimke sodelujočih pri predmetih.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Lep pozdrav!</w:t>
      </w: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Talpas</w:t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Slika 1:</w:t>
      </w:r>
    </w:p>
    <w:p w:rsidR="00081BA0" w:rsidRDefault="00081BA0" w:rsidP="00081BA0">
      <w:pPr>
        <w:rPr>
          <w:color w:val="1F4E79"/>
        </w:rPr>
      </w:pPr>
      <w:r>
        <w:rPr>
          <w:noProof/>
          <w:lang w:eastAsia="sl-SI"/>
        </w:rPr>
        <w:drawing>
          <wp:inline distT="0" distB="0" distL="0" distR="0">
            <wp:extent cx="8706485" cy="2847340"/>
            <wp:effectExtent l="0" t="0" r="0" b="0"/>
            <wp:docPr id="4" name="Picture 4" descr="cid:image001.png@01D10CC8.1856F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0CC8.1856F6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48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Slika 2:</w:t>
      </w:r>
    </w:p>
    <w:p w:rsidR="00081BA0" w:rsidRDefault="00081BA0" w:rsidP="00081BA0">
      <w:pPr>
        <w:rPr>
          <w:color w:val="1F4E79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8622030" cy="4582160"/>
            <wp:effectExtent l="0" t="0" r="7620" b="8890"/>
            <wp:docPr id="3" name="Picture 3" descr="cid:image002.png@01D10CC8.1856F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0CC8.1856F6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3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Slika 3:</w:t>
      </w:r>
    </w:p>
    <w:p w:rsidR="00081BA0" w:rsidRDefault="00081BA0" w:rsidP="00081BA0">
      <w:pPr>
        <w:rPr>
          <w:color w:val="1F4E79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7946390" cy="6703695"/>
            <wp:effectExtent l="0" t="0" r="0" b="1905"/>
            <wp:docPr id="2" name="Picture 2" descr="cid:image003.png@01D10CC8.1856F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0CC8.1856F6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390" cy="670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A0" w:rsidRDefault="00081BA0" w:rsidP="00081BA0">
      <w:pPr>
        <w:rPr>
          <w:color w:val="1F4E79"/>
        </w:rPr>
      </w:pPr>
    </w:p>
    <w:p w:rsidR="00081BA0" w:rsidRDefault="00081BA0" w:rsidP="00081BA0">
      <w:pPr>
        <w:rPr>
          <w:color w:val="1F4E79"/>
        </w:rPr>
      </w:pPr>
      <w:r>
        <w:rPr>
          <w:color w:val="1F4E79"/>
        </w:rPr>
        <w:t>Slika 4:</w:t>
      </w:r>
    </w:p>
    <w:p w:rsidR="00081BA0" w:rsidRDefault="00081BA0" w:rsidP="00081BA0">
      <w:pPr>
        <w:rPr>
          <w:color w:val="1F4E79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9203690" cy="3409315"/>
            <wp:effectExtent l="0" t="0" r="0" b="635"/>
            <wp:docPr id="1" name="Picture 1" descr="cid:image004.png@01D10CC8.1856F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10CC8.1856F6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69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A0" w:rsidRDefault="00081BA0" w:rsidP="00081BA0">
      <w:pPr>
        <w:rPr>
          <w:color w:val="1F497D"/>
        </w:rPr>
      </w:pPr>
    </w:p>
    <w:p w:rsidR="001C2A4C" w:rsidRDefault="001C2A4C"/>
    <w:sectPr w:rsidR="001C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E00"/>
    <w:multiLevelType w:val="multilevel"/>
    <w:tmpl w:val="92567CF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A0"/>
    <w:rsid w:val="00081BA0"/>
    <w:rsid w:val="000D7683"/>
    <w:rsid w:val="001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A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683"/>
    <w:pPr>
      <w:keepNext/>
      <w:keepLines/>
      <w:numPr>
        <w:numId w:val="9"/>
      </w:numPr>
      <w:spacing w:before="480" w:line="276" w:lineRule="auto"/>
      <w:jc w:val="both"/>
      <w:outlineLvl w:val="0"/>
    </w:pPr>
    <w:rPr>
      <w:rFonts w:ascii="Times New Roman" w:eastAsiaTheme="majorEastAsia" w:hAnsi="Times New Roman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683"/>
    <w:pPr>
      <w:keepNext/>
      <w:keepLines/>
      <w:numPr>
        <w:ilvl w:val="1"/>
        <w:numId w:val="9"/>
      </w:numPr>
      <w:spacing w:before="200" w:line="276" w:lineRule="auto"/>
      <w:jc w:val="both"/>
      <w:outlineLvl w:val="1"/>
    </w:pPr>
    <w:rPr>
      <w:rFonts w:ascii="Times New Roman" w:eastAsiaTheme="majorEastAsia" w:hAnsi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683"/>
    <w:pPr>
      <w:keepNext/>
      <w:keepLines/>
      <w:numPr>
        <w:ilvl w:val="2"/>
        <w:numId w:val="9"/>
      </w:numPr>
      <w:spacing w:before="200" w:line="276" w:lineRule="auto"/>
      <w:jc w:val="both"/>
      <w:outlineLvl w:val="2"/>
    </w:pPr>
    <w:rPr>
      <w:rFonts w:ascii="Times New Roman" w:eastAsiaTheme="majorEastAsia" w:hAnsi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683"/>
    <w:pPr>
      <w:keepNext/>
      <w:keepLines/>
      <w:numPr>
        <w:ilvl w:val="3"/>
        <w:numId w:val="9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683"/>
    <w:pPr>
      <w:keepNext/>
      <w:keepLines/>
      <w:numPr>
        <w:ilvl w:val="4"/>
        <w:numId w:val="9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683"/>
    <w:pPr>
      <w:keepNext/>
      <w:keepLines/>
      <w:numPr>
        <w:ilvl w:val="5"/>
        <w:numId w:val="9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683"/>
    <w:pPr>
      <w:keepNext/>
      <w:keepLines/>
      <w:numPr>
        <w:ilvl w:val="6"/>
        <w:numId w:val="9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683"/>
    <w:pPr>
      <w:keepNext/>
      <w:keepLines/>
      <w:numPr>
        <w:ilvl w:val="7"/>
        <w:numId w:val="9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683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683"/>
    <w:rPr>
      <w:rFonts w:ascii="Times New Roman" w:eastAsiaTheme="majorEastAsia" w:hAnsi="Times New Roman" w:cs="Times New Roman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768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768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6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6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6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6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6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6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D7683"/>
    <w:pPr>
      <w:spacing w:after="200"/>
      <w:jc w:val="both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0D76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683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A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683"/>
    <w:pPr>
      <w:keepNext/>
      <w:keepLines/>
      <w:numPr>
        <w:numId w:val="9"/>
      </w:numPr>
      <w:spacing w:before="480" w:line="276" w:lineRule="auto"/>
      <w:jc w:val="both"/>
      <w:outlineLvl w:val="0"/>
    </w:pPr>
    <w:rPr>
      <w:rFonts w:ascii="Times New Roman" w:eastAsiaTheme="majorEastAsia" w:hAnsi="Times New Roman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683"/>
    <w:pPr>
      <w:keepNext/>
      <w:keepLines/>
      <w:numPr>
        <w:ilvl w:val="1"/>
        <w:numId w:val="9"/>
      </w:numPr>
      <w:spacing w:before="200" w:line="276" w:lineRule="auto"/>
      <w:jc w:val="both"/>
      <w:outlineLvl w:val="1"/>
    </w:pPr>
    <w:rPr>
      <w:rFonts w:ascii="Times New Roman" w:eastAsiaTheme="majorEastAsia" w:hAnsi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683"/>
    <w:pPr>
      <w:keepNext/>
      <w:keepLines/>
      <w:numPr>
        <w:ilvl w:val="2"/>
        <w:numId w:val="9"/>
      </w:numPr>
      <w:spacing w:before="200" w:line="276" w:lineRule="auto"/>
      <w:jc w:val="both"/>
      <w:outlineLvl w:val="2"/>
    </w:pPr>
    <w:rPr>
      <w:rFonts w:ascii="Times New Roman" w:eastAsiaTheme="majorEastAsia" w:hAnsi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683"/>
    <w:pPr>
      <w:keepNext/>
      <w:keepLines/>
      <w:numPr>
        <w:ilvl w:val="3"/>
        <w:numId w:val="9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683"/>
    <w:pPr>
      <w:keepNext/>
      <w:keepLines/>
      <w:numPr>
        <w:ilvl w:val="4"/>
        <w:numId w:val="9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683"/>
    <w:pPr>
      <w:keepNext/>
      <w:keepLines/>
      <w:numPr>
        <w:ilvl w:val="5"/>
        <w:numId w:val="9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683"/>
    <w:pPr>
      <w:keepNext/>
      <w:keepLines/>
      <w:numPr>
        <w:ilvl w:val="6"/>
        <w:numId w:val="9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683"/>
    <w:pPr>
      <w:keepNext/>
      <w:keepLines/>
      <w:numPr>
        <w:ilvl w:val="7"/>
        <w:numId w:val="9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683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683"/>
    <w:rPr>
      <w:rFonts w:ascii="Times New Roman" w:eastAsiaTheme="majorEastAsia" w:hAnsi="Times New Roman" w:cs="Times New Roman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768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768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6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6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6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6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6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6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D7683"/>
    <w:pPr>
      <w:spacing w:after="200"/>
      <w:jc w:val="both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0D76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683"/>
    <w:pPr>
      <w:spacing w:after="200" w:line="276" w:lineRule="auto"/>
      <w:ind w:left="720"/>
      <w:contextualSpacing/>
      <w:jc w:val="both"/>
    </w:pPr>
    <w:rPr>
      <w:rFonts w:ascii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png@01D10CC8.1856F6C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10CC8.1856F6C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10CC8.1856F6C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png@01D10CC8.1856F6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</Words>
  <Characters>2907</Characters>
  <Application>Microsoft Office Word</Application>
  <DocSecurity>0</DocSecurity>
  <Lines>64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2015-10-24T08:38:00Z</dcterms:created>
  <dcterms:modified xsi:type="dcterms:W3CDTF">2015-10-24T08:39:00Z</dcterms:modified>
</cp:coreProperties>
</file>